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55" w:rsidRPr="002A7455" w:rsidRDefault="002A7455" w:rsidP="002A7455">
      <w:pPr>
        <w:bidi/>
        <w:spacing w:after="0" w:line="240" w:lineRule="auto"/>
        <w:ind w:left="96"/>
        <w:contextualSpacing/>
        <w:rPr>
          <w:rFonts w:ascii="Arial" w:eastAsia="Times New Roman" w:hAnsi="Arial" w:cs="B Mitra"/>
          <w:b/>
          <w:bCs/>
          <w:sz w:val="24"/>
          <w:szCs w:val="24"/>
          <w:lang w:val="x-none" w:eastAsia="x-none"/>
        </w:rPr>
      </w:pPr>
      <w:r w:rsidRPr="002A7455">
        <w:rPr>
          <w:rFonts w:ascii="Arial" w:eastAsia="Times New Roman" w:hAnsi="Arial" w:cs="B Mitra" w:hint="eastAsia"/>
          <w:b/>
          <w:bCs/>
          <w:sz w:val="24"/>
          <w:szCs w:val="24"/>
          <w:rtl/>
          <w:lang w:val="x-none" w:eastAsia="x-none"/>
        </w:rPr>
        <w:t>شرح</w:t>
      </w:r>
      <w:r w:rsidRPr="002A7455">
        <w:rPr>
          <w:rFonts w:ascii="Arial" w:eastAsia="Times New Roman" w:hAnsi="Arial" w:cs="B Mitra"/>
          <w:b/>
          <w:bCs/>
          <w:sz w:val="24"/>
          <w:szCs w:val="24"/>
          <w:rtl/>
          <w:lang w:val="x-none" w:eastAsia="x-none"/>
        </w:rPr>
        <w:t xml:space="preserve"> </w:t>
      </w:r>
      <w:r w:rsidRPr="002A7455">
        <w:rPr>
          <w:rFonts w:ascii="Arial" w:eastAsia="Times New Roman" w:hAnsi="Arial" w:cs="B Mitra" w:hint="eastAsia"/>
          <w:b/>
          <w:bCs/>
          <w:sz w:val="24"/>
          <w:szCs w:val="24"/>
          <w:rtl/>
          <w:lang w:val="x-none" w:eastAsia="x-none"/>
        </w:rPr>
        <w:t>وظايف</w:t>
      </w:r>
      <w:r w:rsidRPr="002A7455">
        <w:rPr>
          <w:rFonts w:ascii="Arial" w:eastAsia="Times New Roman" w:hAnsi="Arial" w:cs="B Mitra"/>
          <w:b/>
          <w:bCs/>
          <w:sz w:val="24"/>
          <w:szCs w:val="24"/>
          <w:rtl/>
          <w:lang w:val="x-none" w:eastAsia="x-none"/>
        </w:rPr>
        <w:t xml:space="preserve"> </w:t>
      </w:r>
      <w:r w:rsidRPr="002A7455">
        <w:rPr>
          <w:rFonts w:ascii="Arial" w:eastAsia="Times New Roman" w:hAnsi="Arial" w:cs="B Mitra" w:hint="cs"/>
          <w:b/>
          <w:bCs/>
          <w:sz w:val="24"/>
          <w:szCs w:val="24"/>
          <w:rtl/>
          <w:lang w:val="x-none" w:eastAsia="x-none"/>
        </w:rPr>
        <w:t xml:space="preserve">پزشک </w:t>
      </w:r>
      <w:r w:rsidRPr="002A7455">
        <w:rPr>
          <w:rFonts w:ascii="Arial" w:eastAsia="Times New Roman" w:hAnsi="Arial" w:cs="B Mitra" w:hint="eastAsia"/>
          <w:b/>
          <w:bCs/>
          <w:sz w:val="24"/>
          <w:szCs w:val="24"/>
          <w:rtl/>
          <w:lang w:val="x-none" w:eastAsia="x-none"/>
        </w:rPr>
        <w:t>در</w:t>
      </w:r>
      <w:r w:rsidRPr="002A7455">
        <w:rPr>
          <w:rFonts w:ascii="Arial" w:eastAsia="Times New Roman" w:hAnsi="Arial" w:cs="B Mitra"/>
          <w:b/>
          <w:bCs/>
          <w:sz w:val="24"/>
          <w:szCs w:val="24"/>
          <w:rtl/>
          <w:lang w:val="x-none" w:eastAsia="x-none"/>
        </w:rPr>
        <w:t xml:space="preserve"> </w:t>
      </w:r>
      <w:r w:rsidRPr="002A7455">
        <w:rPr>
          <w:rFonts w:ascii="Arial" w:eastAsia="Times New Roman" w:hAnsi="Arial" w:cs="B Mitra" w:hint="eastAsia"/>
          <w:b/>
          <w:bCs/>
          <w:sz w:val="24"/>
          <w:szCs w:val="24"/>
          <w:rtl/>
          <w:lang w:val="x-none" w:eastAsia="x-none"/>
        </w:rPr>
        <w:t>ت</w:t>
      </w:r>
      <w:r w:rsidRPr="002A7455">
        <w:rPr>
          <w:rFonts w:ascii="Arial" w:eastAsia="Times New Roman" w:hAnsi="Arial" w:cs="B Mitra" w:hint="cs"/>
          <w:b/>
          <w:bCs/>
          <w:sz w:val="24"/>
          <w:szCs w:val="24"/>
          <w:rtl/>
          <w:lang w:val="x-none" w:eastAsia="x-none"/>
        </w:rPr>
        <w:t>ی</w:t>
      </w:r>
      <w:r w:rsidRPr="002A7455">
        <w:rPr>
          <w:rFonts w:ascii="Arial" w:eastAsia="Times New Roman" w:hAnsi="Arial" w:cs="B Mitra" w:hint="eastAsia"/>
          <w:b/>
          <w:bCs/>
          <w:sz w:val="24"/>
          <w:szCs w:val="24"/>
          <w:rtl/>
          <w:lang w:val="x-none" w:eastAsia="x-none"/>
        </w:rPr>
        <w:t>م</w:t>
      </w:r>
      <w:r w:rsidRPr="002A7455">
        <w:rPr>
          <w:rFonts w:ascii="Arial" w:eastAsia="Times New Roman" w:hAnsi="Arial" w:cs="B Mitra"/>
          <w:b/>
          <w:bCs/>
          <w:sz w:val="24"/>
          <w:szCs w:val="24"/>
          <w:rtl/>
          <w:lang w:val="x-none" w:eastAsia="x-none"/>
        </w:rPr>
        <w:t xml:space="preserve"> </w:t>
      </w:r>
      <w:r w:rsidRPr="002A7455">
        <w:rPr>
          <w:rFonts w:ascii="Arial" w:eastAsia="Times New Roman" w:hAnsi="Arial" w:cs="B Mitra" w:hint="eastAsia"/>
          <w:b/>
          <w:bCs/>
          <w:sz w:val="24"/>
          <w:szCs w:val="24"/>
          <w:rtl/>
          <w:lang w:val="x-none" w:eastAsia="x-none"/>
        </w:rPr>
        <w:t>سلامت</w:t>
      </w:r>
      <w:r w:rsidRPr="002A7455">
        <w:rPr>
          <w:rFonts w:ascii="Arial" w:eastAsia="Times New Roman" w:hAnsi="Arial" w:cs="B Mitra"/>
          <w:b/>
          <w:bCs/>
          <w:sz w:val="24"/>
          <w:szCs w:val="24"/>
          <w:lang w:val="x-none" w:eastAsia="x-none"/>
        </w:rPr>
        <w:t>:</w:t>
      </w:r>
    </w:p>
    <w:p w:rsidR="002A7455" w:rsidRPr="002A7455" w:rsidRDefault="002A7455" w:rsidP="002A7455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lang w:eastAsia="zh-CN" w:bidi="fa-IR"/>
        </w:rPr>
      </w:pPr>
      <w:r w:rsidRPr="002A7455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شناسايي محيط جغرافيايي محل خدمت</w:t>
      </w:r>
    </w:p>
    <w:p w:rsidR="002A7455" w:rsidRPr="002A7455" w:rsidRDefault="002A7455" w:rsidP="002A7455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lang w:eastAsia="zh-CN" w:bidi="fa-IR"/>
        </w:rPr>
      </w:pPr>
      <w:r w:rsidRPr="002A7455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 xml:space="preserve">شناسايي جمعيت تحت پوشش از نظر تعداد نفرات به تفکيک سن و جنس </w:t>
      </w:r>
    </w:p>
    <w:p w:rsidR="002A7455" w:rsidRPr="002A7455" w:rsidRDefault="002A7455" w:rsidP="002A7455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lang w:eastAsia="zh-CN" w:bidi="fa-IR"/>
        </w:rPr>
      </w:pPr>
      <w:r w:rsidRPr="002A7455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تحلیل اطلاعات تندرستی جمعیت تحت پوشش</w:t>
      </w:r>
    </w:p>
    <w:p w:rsidR="002A7455" w:rsidRPr="002A7455" w:rsidRDefault="002A7455" w:rsidP="002A7455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</w:pPr>
      <w:r w:rsidRPr="002A7455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مديريت سلامت در جمعيت تحت پوشش</w:t>
      </w:r>
    </w:p>
    <w:p w:rsidR="002A7455" w:rsidRPr="002A7455" w:rsidRDefault="002A7455" w:rsidP="002A7455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</w:pPr>
      <w:r w:rsidRPr="002A7455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آموزش و ارتقاي سلامت</w:t>
      </w:r>
    </w:p>
    <w:p w:rsidR="002A7455" w:rsidRPr="002A7455" w:rsidRDefault="002A7455" w:rsidP="002A7455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</w:pPr>
      <w:r w:rsidRPr="002A7455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 xml:space="preserve">هماهنگی‌های درون بخشی و برون بخشی </w:t>
      </w:r>
    </w:p>
    <w:p w:rsidR="002A7455" w:rsidRPr="002A7455" w:rsidRDefault="002A7455" w:rsidP="002A7455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</w:pPr>
      <w:r w:rsidRPr="002A7455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مراقبت از جامعه تحت پوشش براساس گروه‌های هدف تعیین شده و اجراي برنامه‌هاي سلامت تدوين و ابلاغ شده در نظام ارائه خدمات سلامت</w:t>
      </w:r>
    </w:p>
    <w:p w:rsidR="002A7455" w:rsidRPr="002A7455" w:rsidRDefault="002A7455" w:rsidP="002A7455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</w:pPr>
      <w:r w:rsidRPr="002A7455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پذيرش موارد ارجاعي و ارائه پس‌خوراند مناسب</w:t>
      </w:r>
    </w:p>
    <w:p w:rsidR="002A7455" w:rsidRPr="002A7455" w:rsidRDefault="002A7455" w:rsidP="002A7455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</w:pPr>
      <w:r w:rsidRPr="002A7455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درمان اوليه و تدبير فوريت</w:t>
      </w:r>
      <w:r w:rsidRPr="002A7455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softHyphen/>
        <w:t xml:space="preserve">ها </w:t>
      </w:r>
    </w:p>
    <w:p w:rsidR="002A7455" w:rsidRPr="002A7455" w:rsidRDefault="002A7455" w:rsidP="002A7455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</w:pPr>
      <w:r w:rsidRPr="002A7455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ارجاع مناسب و بموقع، پيگيري موارد ارجاع شده به سطح بالاتر و دريافت پس‌خوراند از سطح بالاتر</w:t>
      </w:r>
    </w:p>
    <w:p w:rsidR="002A7455" w:rsidRPr="002A7455" w:rsidRDefault="002A7455" w:rsidP="002A7455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</w:pPr>
      <w:r w:rsidRPr="002A7455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انجام اقدامات موردنياز براساس پس‌خوراند</w:t>
      </w:r>
    </w:p>
    <w:p w:rsidR="002A7455" w:rsidRPr="002A7455" w:rsidRDefault="002A7455" w:rsidP="002A7455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</w:pPr>
      <w:r w:rsidRPr="002A7455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ارزیابی خطر و ظرفیت پاسخ واحدهای ارائه خدمات در مواقع بحران</w:t>
      </w:r>
    </w:p>
    <w:p w:rsidR="002A7455" w:rsidRPr="002A7455" w:rsidRDefault="002A7455" w:rsidP="002A7455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</w:pPr>
      <w:r w:rsidRPr="002A7455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ارزيابي امنيت غذايي در جمعيت تحت پوشش و اجراي برنامه‌هاي توانمندسازي مردم براساس ظرفيت</w:t>
      </w:r>
      <w:r w:rsidRPr="002A7455">
        <w:rPr>
          <w:rFonts w:ascii="Times New Roman" w:eastAsia="SimSun" w:hAnsi="Times New Roman" w:cs="B Mitra" w:hint="eastAsia"/>
          <w:sz w:val="24"/>
          <w:szCs w:val="24"/>
          <w:rtl/>
          <w:lang w:eastAsia="zh-CN" w:bidi="fa-IR"/>
        </w:rPr>
        <w:t>‌</w:t>
      </w:r>
      <w:r w:rsidRPr="002A7455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هاي محلي</w:t>
      </w:r>
    </w:p>
    <w:p w:rsidR="002A7455" w:rsidRPr="002A7455" w:rsidRDefault="002A7455" w:rsidP="002A7455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lang w:eastAsia="zh-CN" w:bidi="fa-IR"/>
        </w:rPr>
      </w:pPr>
      <w:r w:rsidRPr="002A7455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نظارت بر عملکرد تیم سلامت</w:t>
      </w:r>
    </w:p>
    <w:p w:rsidR="002A7455" w:rsidRPr="002A7455" w:rsidRDefault="002A7455" w:rsidP="002A7455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</w:pPr>
      <w:r w:rsidRPr="002A7455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مراقبت از بیماران براساس دستورعمل ها و بسته خدمت</w:t>
      </w:r>
    </w:p>
    <w:p w:rsidR="002A7455" w:rsidRPr="002A7455" w:rsidRDefault="002A7455" w:rsidP="002A7455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lang w:eastAsia="zh-CN" w:bidi="fa-IR"/>
        </w:rPr>
      </w:pPr>
      <w:r w:rsidRPr="002A7455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پایش و ارزشیابی</w:t>
      </w:r>
    </w:p>
    <w:p w:rsidR="002A7455" w:rsidRPr="002A7455" w:rsidRDefault="002A7455" w:rsidP="002A7455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lang w:eastAsia="zh-CN" w:bidi="fa-IR"/>
        </w:rPr>
      </w:pPr>
      <w:r w:rsidRPr="002A7455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کنترل و تاييد شاخص های آنتروپومتریک اندازه گيري شده توسط مراقب سلامت شامل: قد،</w:t>
      </w:r>
      <w:r w:rsidRPr="002A7455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2A7455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 xml:space="preserve">وزن، دورسر، دور عضله ساق پا و دور کمر(برای افراد </w:t>
      </w:r>
      <w:r w:rsidRPr="002A7455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2A7455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 xml:space="preserve">30 تا 70 سال) و دقت در نمایه توده بدنی محاسبه شده در پرونده الكترونيك افراد ارجاع داده شده </w:t>
      </w:r>
    </w:p>
    <w:p w:rsidR="002A7455" w:rsidRPr="002A7455" w:rsidRDefault="002A7455" w:rsidP="002A7455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lang w:eastAsia="zh-CN" w:bidi="fa-IR"/>
        </w:rPr>
      </w:pPr>
      <w:r w:rsidRPr="002A7455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 xml:space="preserve">درخواست انجام آزمايشات پاراكلينيك براي مراجعين، متناسب با وضعيت فرد و مطابق با دستورعمل ها </w:t>
      </w:r>
    </w:p>
    <w:p w:rsidR="002A7455" w:rsidRPr="002A7455" w:rsidRDefault="002A7455" w:rsidP="002A7455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lang w:eastAsia="zh-CN" w:bidi="fa-IR"/>
        </w:rPr>
      </w:pPr>
      <w:r w:rsidRPr="002A7455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کنترل نحوه مصرف مکمل ها مطابق با دستور عمل ها و برنامه هاي كشوري مكمل ياري در گروه هاي هدف برنامه</w:t>
      </w:r>
    </w:p>
    <w:p w:rsidR="002A7455" w:rsidRPr="002A7455" w:rsidRDefault="002A7455" w:rsidP="002A7455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lang w:eastAsia="zh-CN" w:bidi="fa-IR"/>
        </w:rPr>
      </w:pPr>
      <w:r w:rsidRPr="002A7455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بررسی موارد ارجاع شده از طرف مراقب سلامت از جمله الگوی تغذیه نامناسب، کودکان مبتلا به اختلالات رشد، مادران باردار با اختلال وزن گیری، موارد مبتلا به پره دیابت و دیابت، فشار خون بالا، دیس لیپیدمی، چاقی و لاغري و ... مطابق دستورعمل ارجاع آنان به کارشناس تغذیه جهت دريافت خدمات تخصصي تغذيه شامل آموزش، مشاوره و تنظیم رژیم غذایی</w:t>
      </w:r>
    </w:p>
    <w:p w:rsidR="002A7455" w:rsidRPr="002A7455" w:rsidRDefault="002A7455" w:rsidP="002A7455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lang w:eastAsia="zh-CN" w:bidi="fa-IR"/>
        </w:rPr>
      </w:pPr>
      <w:r w:rsidRPr="002A7455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هماهنگی، حمایت و نظارت بر اجرای برنامه های تغذیه جامعه</w:t>
      </w:r>
    </w:p>
    <w:p w:rsidR="002A7455" w:rsidRPr="002A7455" w:rsidRDefault="002A7455" w:rsidP="002A7455">
      <w:pPr>
        <w:bidi/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fa-IR"/>
        </w:rPr>
      </w:pPr>
    </w:p>
    <w:p w:rsidR="00B51317" w:rsidRDefault="002A7455" w:rsidP="002A7455">
      <w:pPr>
        <w:jc w:val="right"/>
      </w:pPr>
      <w:bookmarkStart w:id="0" w:name="_GoBack"/>
      <w:bookmarkEnd w:id="0"/>
    </w:p>
    <w:sectPr w:rsidR="00B51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0E2A"/>
    <w:multiLevelType w:val="hybridMultilevel"/>
    <w:tmpl w:val="4282F1F0"/>
    <w:lvl w:ilvl="0" w:tplc="1EAE3B80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3C"/>
    <w:rsid w:val="002A7455"/>
    <w:rsid w:val="00A86B75"/>
    <w:rsid w:val="00C5593C"/>
    <w:rsid w:val="00D4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MFT-</dc:creator>
  <cp:keywords/>
  <dc:description/>
  <cp:lastModifiedBy>MFT-</cp:lastModifiedBy>
  <cp:revision>2</cp:revision>
  <dcterms:created xsi:type="dcterms:W3CDTF">2018-05-02T11:00:00Z</dcterms:created>
  <dcterms:modified xsi:type="dcterms:W3CDTF">2018-05-02T11:00:00Z</dcterms:modified>
</cp:coreProperties>
</file>